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31F" w:rsidRDefault="00B4093A">
      <w:r>
        <w:rPr>
          <w:rFonts w:ascii="Helvetica" w:hAnsi="Helvetica" w:cs="Helvetica"/>
          <w:color w:val="000000"/>
          <w:sz w:val="18"/>
          <w:szCs w:val="18"/>
        </w:rPr>
        <w:br/>
      </w:r>
    </w:p>
    <w:tbl>
      <w:tblPr>
        <w:tblW w:w="11250" w:type="dxa"/>
        <w:tblCellSpacing w:w="0" w:type="dxa"/>
        <w:shd w:val="clear" w:color="auto" w:fill="FFFFFF"/>
        <w:tblCellMar>
          <w:top w:w="150" w:type="dxa"/>
          <w:left w:w="150" w:type="dxa"/>
          <w:bottom w:w="150" w:type="dxa"/>
          <w:right w:w="150" w:type="dxa"/>
        </w:tblCellMar>
        <w:tblLook w:val="04A0"/>
      </w:tblPr>
      <w:tblGrid>
        <w:gridCol w:w="5625"/>
        <w:gridCol w:w="5625"/>
      </w:tblGrid>
      <w:tr w:rsidR="00DA331F" w:rsidRPr="00DA331F" w:rsidTr="00DA331F">
        <w:trPr>
          <w:tblCellSpacing w:w="0" w:type="dxa"/>
        </w:trPr>
        <w:tc>
          <w:tcPr>
            <w:tcW w:w="2500" w:type="pct"/>
            <w:shd w:val="clear" w:color="auto" w:fill="FFFFFF"/>
            <w:vAlign w:val="center"/>
            <w:hideMark/>
          </w:tcPr>
          <w:p w:rsidR="00DA331F" w:rsidRPr="00DA331F" w:rsidRDefault="00DA331F" w:rsidP="00DA331F">
            <w:pPr>
              <w:spacing w:after="0" w:line="240" w:lineRule="auto"/>
              <w:rPr>
                <w:rFonts w:ascii="Verdana" w:eastAsia="Times New Roman" w:hAnsi="Verdana" w:cs="Times New Roman"/>
                <w:b/>
                <w:bCs/>
                <w:i/>
                <w:iCs/>
                <w:color w:val="000099"/>
                <w:sz w:val="25"/>
                <w:szCs w:val="25"/>
                <w:lang w:eastAsia="en-GB"/>
              </w:rPr>
            </w:pPr>
            <w:r w:rsidRPr="00DA331F">
              <w:rPr>
                <w:rFonts w:ascii="Verdana" w:eastAsia="Times New Roman" w:hAnsi="Verdana" w:cs="Times New Roman"/>
                <w:b/>
                <w:bCs/>
                <w:i/>
                <w:iCs/>
                <w:color w:val="000099"/>
                <w:sz w:val="25"/>
                <w:szCs w:val="25"/>
                <w:lang w:eastAsia="en-GB"/>
              </w:rPr>
              <w:t>Tank Cleaning</w:t>
            </w:r>
          </w:p>
        </w:tc>
        <w:tc>
          <w:tcPr>
            <w:tcW w:w="2500" w:type="pct"/>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4"/>
                <w:szCs w:val="24"/>
                <w:lang w:eastAsia="en-GB"/>
              </w:rPr>
            </w:pPr>
            <w:r w:rsidRPr="00DA331F">
              <w:rPr>
                <w:rFonts w:ascii="Times New Roman" w:eastAsia="Times New Roman" w:hAnsi="Times New Roman" w:cs="Times New Roman"/>
                <w:sz w:val="24"/>
                <w:szCs w:val="24"/>
                <w:lang w:eastAsia="en-GB"/>
              </w:rPr>
              <w:t> </w:t>
            </w:r>
          </w:p>
        </w:tc>
      </w:tr>
      <w:tr w:rsidR="00DA331F" w:rsidRPr="00DA331F" w:rsidTr="00DA331F">
        <w:trPr>
          <w:tblCellSpacing w:w="0" w:type="dxa"/>
        </w:trPr>
        <w:tc>
          <w:tcPr>
            <w:tcW w:w="2500" w:type="pct"/>
            <w:shd w:val="clear" w:color="auto" w:fill="FFFFFF"/>
            <w:hideMark/>
          </w:tcPr>
          <w:p w:rsidR="00DA331F" w:rsidRPr="00DA331F" w:rsidRDefault="00DA331F" w:rsidP="00DA331F">
            <w:pPr>
              <w:spacing w:before="100" w:beforeAutospacing="1" w:after="100" w:afterAutospacing="1" w:line="240" w:lineRule="auto"/>
              <w:rPr>
                <w:rFonts w:ascii="Times New Roman" w:eastAsia="Times New Roman" w:hAnsi="Times New Roman" w:cs="Times New Roman"/>
                <w:sz w:val="24"/>
                <w:szCs w:val="24"/>
                <w:lang w:eastAsia="en-GB"/>
              </w:rPr>
            </w:pPr>
            <w:r w:rsidRPr="00DA331F">
              <w:rPr>
                <w:rFonts w:ascii="Verdana" w:eastAsia="Times New Roman" w:hAnsi="Verdana" w:cs="Times New Roman"/>
                <w:color w:val="000000"/>
                <w:sz w:val="16"/>
                <w:lang w:eastAsia="en-GB"/>
              </w:rPr>
              <w:t>The refining and hydrocarbon processing industry is ready for the new wave of vessel cleaning technology. </w:t>
            </w:r>
            <w:r w:rsidRPr="00DA331F">
              <w:rPr>
                <w:rFonts w:ascii="Verdana" w:eastAsia="Times New Roman" w:hAnsi="Verdana" w:cs="Times New Roman"/>
                <w:b/>
                <w:bCs/>
                <w:color w:val="000000"/>
                <w:sz w:val="16"/>
                <w:lang w:eastAsia="en-GB"/>
              </w:rPr>
              <w:t>Ivey-so</w:t>
            </w:r>
            <w:r w:rsidRPr="00DA331F">
              <w:rPr>
                <w:rFonts w:ascii="Verdana" w:eastAsia="Times New Roman" w:hAnsi="Verdana" w:cs="Times New Roman"/>
                <w:color w:val="000000"/>
                <w:sz w:val="16"/>
                <w:lang w:eastAsia="en-GB"/>
              </w:rPr>
              <w:t>l® is a patented product that greatly reduces downtime and improves overall safety while providing immediate cost savings for any tank cleaning process.</w:t>
            </w:r>
          </w:p>
          <w:p w:rsidR="00DA331F" w:rsidRPr="00DA331F" w:rsidRDefault="00DA331F" w:rsidP="00DA331F">
            <w:pPr>
              <w:spacing w:before="100" w:beforeAutospacing="1" w:after="100" w:afterAutospacing="1" w:line="240" w:lineRule="auto"/>
              <w:rPr>
                <w:rFonts w:ascii="Times New Roman" w:eastAsia="Times New Roman" w:hAnsi="Times New Roman" w:cs="Times New Roman"/>
                <w:sz w:val="24"/>
                <w:szCs w:val="24"/>
                <w:lang w:eastAsia="en-GB"/>
              </w:rPr>
            </w:pPr>
            <w:r w:rsidRPr="00DA331F">
              <w:rPr>
                <w:rFonts w:ascii="Verdana" w:eastAsia="Times New Roman" w:hAnsi="Verdana" w:cs="Times New Roman"/>
                <w:b/>
                <w:bCs/>
                <w:color w:val="000000"/>
                <w:sz w:val="16"/>
                <w:lang w:eastAsia="en-GB"/>
              </w:rPr>
              <w:t>Ivey-sol</w:t>
            </w:r>
            <w:r w:rsidRPr="00DA331F">
              <w:rPr>
                <w:rFonts w:ascii="Verdana" w:eastAsia="Times New Roman" w:hAnsi="Verdana" w:cs="Times New Roman"/>
                <w:color w:val="000000"/>
                <w:sz w:val="16"/>
                <w:lang w:eastAsia="en-GB"/>
              </w:rPr>
              <w:t> is non-toxic, non-corrosive, non-hazardous, 100% biodegradable and also non-skin sensitizing.</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t>Ivey-sol</w:t>
            </w:r>
            <w:r w:rsidRPr="00DA331F">
              <w:rPr>
                <w:rFonts w:ascii="Verdana" w:eastAsia="Times New Roman" w:hAnsi="Verdana" w:cs="Times New Roman"/>
                <w:color w:val="000000"/>
                <w:sz w:val="16"/>
                <w:szCs w:val="16"/>
                <w:lang w:eastAsia="en-GB"/>
              </w:rPr>
              <w:t> is simply mixed with water (at 3 to 6%) to form micelles “chemical cocoon-like encapsulations” which seek and surround the various forms of hydrocarbons.</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t>Ivey-sol</w:t>
            </w:r>
            <w:r w:rsidRPr="00DA331F">
              <w:rPr>
                <w:rFonts w:ascii="Verdana" w:eastAsia="Times New Roman" w:hAnsi="Verdana" w:cs="Times New Roman"/>
                <w:color w:val="000000"/>
                <w:sz w:val="16"/>
                <w:szCs w:val="16"/>
                <w:lang w:eastAsia="en-GB"/>
              </w:rPr>
              <w:t> can be premixed or introduced into the water and can be sprayed, steamed, circulated or left to stand.</w:t>
            </w:r>
          </w:p>
        </w:tc>
        <w:tc>
          <w:tcPr>
            <w:tcW w:w="0" w:type="auto"/>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0"/>
                <w:szCs w:val="20"/>
                <w:lang w:eastAsia="en-GB"/>
              </w:rPr>
            </w:pPr>
          </w:p>
        </w:tc>
      </w:tr>
    </w:tbl>
    <w:p w:rsidR="003D2589" w:rsidRDefault="00DA331F">
      <w:r>
        <w:rPr>
          <w:noProof/>
          <w:lang w:eastAsia="en-GB"/>
        </w:rPr>
        <w:drawing>
          <wp:inline distT="0" distB="0" distL="0" distR="0">
            <wp:extent cx="3329940" cy="4287520"/>
            <wp:effectExtent l="19050" t="0" r="3810" b="0"/>
            <wp:docPr id="1" name="Picture 1" descr="http://www.iveyinternational.com/images/tank-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veyinternational.com/images/tank-collage.jpg"/>
                    <pic:cNvPicPr>
                      <a:picLocks noChangeAspect="1" noChangeArrowheads="1"/>
                    </pic:cNvPicPr>
                  </pic:nvPicPr>
                  <pic:blipFill>
                    <a:blip r:embed="rId4"/>
                    <a:srcRect/>
                    <a:stretch>
                      <a:fillRect/>
                    </a:stretch>
                  </pic:blipFill>
                  <pic:spPr bwMode="auto">
                    <a:xfrm>
                      <a:off x="0" y="0"/>
                      <a:ext cx="3329940" cy="4287520"/>
                    </a:xfrm>
                    <a:prstGeom prst="rect">
                      <a:avLst/>
                    </a:prstGeom>
                    <a:noFill/>
                    <a:ln w="9525">
                      <a:noFill/>
                      <a:miter lim="800000"/>
                      <a:headEnd/>
                      <a:tailEnd/>
                    </a:ln>
                  </pic:spPr>
                </pic:pic>
              </a:graphicData>
            </a:graphic>
          </wp:inline>
        </w:drawing>
      </w:r>
    </w:p>
    <w:p w:rsidR="001E149E" w:rsidRDefault="001E149E"/>
    <w:p w:rsidR="001E149E" w:rsidRPr="001E149E" w:rsidRDefault="001E149E">
      <w:pPr>
        <w:rPr>
          <w:rFonts w:ascii="Times New Roman" w:hAnsi="Times New Roman" w:cs="Times New Roman"/>
          <w:b/>
          <w:color w:val="4F81BD" w:themeColor="accent1"/>
          <w:sz w:val="36"/>
          <w:szCs w:val="36"/>
        </w:rPr>
      </w:pPr>
      <w:r w:rsidRPr="001E149E">
        <w:rPr>
          <w:rFonts w:ascii="Times New Roman" w:hAnsi="Times New Roman" w:cs="Times New Roman"/>
          <w:b/>
          <w:color w:val="4F81BD" w:themeColor="accent1"/>
          <w:sz w:val="36"/>
          <w:szCs w:val="36"/>
        </w:rPr>
        <w:t>SOIL/GROUNDWATER REMEDIATION</w:t>
      </w:r>
    </w:p>
    <w:tbl>
      <w:tblPr>
        <w:tblW w:w="13440" w:type="dxa"/>
        <w:tblCellSpacing w:w="0" w:type="dxa"/>
        <w:shd w:val="clear" w:color="auto" w:fill="FFFFFF"/>
        <w:tblCellMar>
          <w:top w:w="150" w:type="dxa"/>
          <w:left w:w="150" w:type="dxa"/>
          <w:bottom w:w="150" w:type="dxa"/>
          <w:right w:w="150" w:type="dxa"/>
        </w:tblCellMar>
        <w:tblLook w:val="04A0"/>
      </w:tblPr>
      <w:tblGrid>
        <w:gridCol w:w="5625"/>
        <w:gridCol w:w="1550"/>
        <w:gridCol w:w="4075"/>
        <w:gridCol w:w="2190"/>
      </w:tblGrid>
      <w:tr w:rsidR="00DA331F" w:rsidRPr="00DA331F" w:rsidTr="00DA331F">
        <w:trPr>
          <w:tblCellSpacing w:w="0" w:type="dxa"/>
        </w:trPr>
        <w:tc>
          <w:tcPr>
            <w:tcW w:w="7175" w:type="dxa"/>
            <w:gridSpan w:val="2"/>
            <w:shd w:val="clear" w:color="auto" w:fill="FFFFFF"/>
            <w:vAlign w:val="center"/>
            <w:hideMark/>
          </w:tcPr>
          <w:p w:rsidR="00DA331F" w:rsidRPr="00DA331F" w:rsidRDefault="00DA331F" w:rsidP="00DA331F">
            <w:pPr>
              <w:spacing w:after="0" w:line="240" w:lineRule="auto"/>
              <w:rPr>
                <w:rFonts w:ascii="Verdana" w:eastAsia="Times New Roman" w:hAnsi="Verdana" w:cs="Times New Roman"/>
                <w:b/>
                <w:bCs/>
                <w:i/>
                <w:iCs/>
                <w:color w:val="000099"/>
                <w:sz w:val="25"/>
                <w:szCs w:val="25"/>
                <w:lang w:eastAsia="en-GB"/>
              </w:rPr>
            </w:pPr>
            <w:r w:rsidRPr="00DA331F">
              <w:rPr>
                <w:rFonts w:ascii="Verdana" w:eastAsia="Times New Roman" w:hAnsi="Verdana" w:cs="Times New Roman"/>
                <w:b/>
                <w:bCs/>
                <w:i/>
                <w:iCs/>
                <w:color w:val="000099"/>
                <w:sz w:val="25"/>
                <w:szCs w:val="25"/>
                <w:lang w:eastAsia="en-GB"/>
              </w:rPr>
              <w:t>Surfactant Enhanced Remediation</w:t>
            </w:r>
          </w:p>
        </w:tc>
        <w:tc>
          <w:tcPr>
            <w:tcW w:w="626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4"/>
                <w:szCs w:val="24"/>
                <w:lang w:eastAsia="en-GB"/>
              </w:rPr>
            </w:pPr>
            <w:r w:rsidRPr="00DA331F">
              <w:rPr>
                <w:rFonts w:ascii="Times New Roman" w:eastAsia="Times New Roman" w:hAnsi="Times New Roman" w:cs="Times New Roman"/>
                <w:sz w:val="24"/>
                <w:szCs w:val="24"/>
                <w:lang w:eastAsia="en-GB"/>
              </w:rPr>
              <w:t> </w:t>
            </w:r>
          </w:p>
        </w:tc>
      </w:tr>
      <w:tr w:rsidR="00DA331F" w:rsidRPr="00DA331F" w:rsidTr="00DA331F">
        <w:trPr>
          <w:tblCellSpacing w:w="0" w:type="dxa"/>
        </w:trPr>
        <w:tc>
          <w:tcPr>
            <w:tcW w:w="7175" w:type="dxa"/>
            <w:gridSpan w:val="2"/>
            <w:vMerge w:val="restart"/>
            <w:shd w:val="clear" w:color="auto" w:fill="FFFFFF"/>
            <w:hideMark/>
          </w:tcPr>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lastRenderedPageBreak/>
              <w:t>SER-Surfactant Enhanced Remediation</w:t>
            </w:r>
            <w:r>
              <w:rPr>
                <w:rFonts w:ascii="Verdana" w:eastAsia="Times New Roman" w:hAnsi="Verdana" w:cs="Times New Roman"/>
                <w:noProof/>
                <w:color w:val="000000"/>
                <w:sz w:val="16"/>
                <w:szCs w:val="16"/>
                <w:lang w:eastAsia="en-GB"/>
              </w:rPr>
              <w:drawing>
                <wp:inline distT="0" distB="0" distL="0" distR="0">
                  <wp:extent cx="94615" cy="112395"/>
                  <wp:effectExtent l="19050" t="0" r="635" b="0"/>
                  <wp:docPr id="6" name="Picture 6" descr="http://www.iveyinternational.com/images/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veyinternational.com/images/SM.gif"/>
                          <pic:cNvPicPr>
                            <a:picLocks noChangeAspect="1" noChangeArrowheads="1"/>
                          </pic:cNvPicPr>
                        </pic:nvPicPr>
                        <pic:blipFill>
                          <a:blip r:embed="rId5"/>
                          <a:srcRect/>
                          <a:stretch>
                            <a:fillRect/>
                          </a:stretch>
                        </pic:blipFill>
                        <pic:spPr bwMode="auto">
                          <a:xfrm>
                            <a:off x="0" y="0"/>
                            <a:ext cx="94615" cy="112395"/>
                          </a:xfrm>
                          <a:prstGeom prst="rect">
                            <a:avLst/>
                          </a:prstGeom>
                          <a:noFill/>
                          <a:ln w="9525">
                            <a:noFill/>
                            <a:miter lim="800000"/>
                            <a:headEnd/>
                            <a:tailEnd/>
                          </a:ln>
                        </pic:spPr>
                      </pic:pic>
                    </a:graphicData>
                  </a:graphic>
                </wp:inline>
              </w:drawing>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color w:val="000000"/>
                <w:sz w:val="16"/>
                <w:szCs w:val="16"/>
                <w:lang w:eastAsia="en-GB"/>
              </w:rPr>
              <w:t>In-situ and ex-situ application processes to liberate contaminants making them more ‘hydraulically-available’ for mass removal and/or treatment.</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t>SER</w:t>
            </w:r>
            <w:r w:rsidRPr="00DA331F">
              <w:rPr>
                <w:rFonts w:ascii="Verdana" w:eastAsia="Times New Roman" w:hAnsi="Verdana" w:cs="Times New Roman"/>
                <w:color w:val="000000"/>
                <w:sz w:val="16"/>
                <w:szCs w:val="16"/>
                <w:lang w:eastAsia="en-GB"/>
              </w:rPr>
              <w:t xml:space="preserve"> improves in-situ pump and treatment, and/or ex-situ soil washing type applications by &gt;400%. This process could also be used for tank cleaning, vapour suppression, and oil recovery from oil sands or oil </w:t>
            </w:r>
            <w:proofErr w:type="spellStart"/>
            <w:r w:rsidRPr="00DA331F">
              <w:rPr>
                <w:rFonts w:ascii="Verdana" w:eastAsia="Times New Roman" w:hAnsi="Verdana" w:cs="Times New Roman"/>
                <w:color w:val="000000"/>
                <w:sz w:val="16"/>
                <w:szCs w:val="16"/>
                <w:lang w:eastAsia="en-GB"/>
              </w:rPr>
              <w:t>shales</w:t>
            </w:r>
            <w:proofErr w:type="spellEnd"/>
            <w:r w:rsidRPr="00DA331F">
              <w:rPr>
                <w:rFonts w:ascii="Verdana" w:eastAsia="Times New Roman" w:hAnsi="Verdana" w:cs="Times New Roman"/>
                <w:color w:val="000000"/>
                <w:sz w:val="16"/>
                <w:szCs w:val="16"/>
                <w:lang w:eastAsia="en-GB"/>
              </w:rPr>
              <w:t>.</w:t>
            </w:r>
          </w:p>
        </w:tc>
        <w:tc>
          <w:tcPr>
            <w:tcW w:w="626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0"/>
                <w:szCs w:val="20"/>
                <w:lang w:eastAsia="en-GB"/>
              </w:rPr>
            </w:pPr>
          </w:p>
        </w:tc>
      </w:tr>
      <w:tr w:rsidR="00DA331F" w:rsidRPr="00DA331F" w:rsidTr="00DA331F">
        <w:trPr>
          <w:gridAfter w:val="2"/>
          <w:wAfter w:w="6265" w:type="dxa"/>
          <w:trHeight w:val="194"/>
          <w:tblCellSpacing w:w="0" w:type="dxa"/>
        </w:trPr>
        <w:tc>
          <w:tcPr>
            <w:tcW w:w="7175" w:type="dxa"/>
            <w:gridSpan w:val="2"/>
            <w:vMerge/>
            <w:shd w:val="clear" w:color="auto" w:fill="FFFFFF"/>
            <w:vAlign w:val="center"/>
            <w:hideMark/>
          </w:tcPr>
          <w:p w:rsidR="00DA331F" w:rsidRPr="00DA331F" w:rsidRDefault="00DA331F" w:rsidP="00DA331F">
            <w:pPr>
              <w:spacing w:after="0" w:line="240" w:lineRule="auto"/>
              <w:rPr>
                <w:rFonts w:ascii="Verdana" w:eastAsia="Times New Roman" w:hAnsi="Verdana" w:cs="Times New Roman"/>
                <w:color w:val="000000"/>
                <w:sz w:val="16"/>
                <w:szCs w:val="16"/>
                <w:lang w:eastAsia="en-GB"/>
              </w:rPr>
            </w:pPr>
          </w:p>
        </w:tc>
      </w:tr>
      <w:tr w:rsidR="00DA331F" w:rsidRPr="00DA331F" w:rsidTr="00DA331F">
        <w:trPr>
          <w:tblCellSpacing w:w="0" w:type="dxa"/>
        </w:trPr>
        <w:tc>
          <w:tcPr>
            <w:tcW w:w="7175" w:type="dxa"/>
            <w:gridSpan w:val="2"/>
            <w:shd w:val="clear" w:color="auto" w:fill="FFFFFF"/>
            <w:vAlign w:val="center"/>
            <w:hideMark/>
          </w:tcPr>
          <w:p w:rsidR="00DA331F" w:rsidRPr="00DA331F" w:rsidRDefault="00DA331F" w:rsidP="00DA331F">
            <w:pPr>
              <w:spacing w:after="0" w:line="240" w:lineRule="auto"/>
              <w:rPr>
                <w:rFonts w:ascii="Verdana" w:eastAsia="Times New Roman" w:hAnsi="Verdana" w:cs="Times New Roman"/>
                <w:b/>
                <w:bCs/>
                <w:i/>
                <w:iCs/>
                <w:color w:val="000099"/>
                <w:sz w:val="25"/>
                <w:szCs w:val="25"/>
                <w:lang w:eastAsia="en-GB"/>
              </w:rPr>
            </w:pPr>
            <w:r w:rsidRPr="00DA331F">
              <w:rPr>
                <w:rFonts w:ascii="Verdana" w:eastAsia="Times New Roman" w:hAnsi="Verdana" w:cs="Times New Roman"/>
                <w:b/>
                <w:bCs/>
                <w:i/>
                <w:iCs/>
                <w:color w:val="000099"/>
                <w:sz w:val="25"/>
                <w:szCs w:val="25"/>
                <w:lang w:eastAsia="en-GB"/>
              </w:rPr>
              <w:t>Surfactant Enhanced Bioremediation</w:t>
            </w:r>
          </w:p>
        </w:tc>
        <w:tc>
          <w:tcPr>
            <w:tcW w:w="626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4"/>
                <w:szCs w:val="24"/>
                <w:lang w:eastAsia="en-GB"/>
              </w:rPr>
            </w:pPr>
            <w:r w:rsidRPr="00DA331F">
              <w:rPr>
                <w:rFonts w:ascii="Times New Roman" w:eastAsia="Times New Roman" w:hAnsi="Times New Roman" w:cs="Times New Roman"/>
                <w:sz w:val="24"/>
                <w:szCs w:val="24"/>
                <w:lang w:eastAsia="en-GB"/>
              </w:rPr>
              <w:t> </w:t>
            </w:r>
          </w:p>
        </w:tc>
      </w:tr>
      <w:tr w:rsidR="00DA331F" w:rsidRPr="00DA331F" w:rsidTr="00DA331F">
        <w:trPr>
          <w:tblCellSpacing w:w="0" w:type="dxa"/>
        </w:trPr>
        <w:tc>
          <w:tcPr>
            <w:tcW w:w="7175" w:type="dxa"/>
            <w:gridSpan w:val="2"/>
            <w:vMerge w:val="restart"/>
            <w:shd w:val="clear" w:color="auto" w:fill="FFFFFF"/>
            <w:hideMark/>
          </w:tcPr>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t>SEB-Surfactant Enhanced Bioremediation</w:t>
            </w:r>
            <w:r>
              <w:rPr>
                <w:rFonts w:ascii="Verdana" w:eastAsia="Times New Roman" w:hAnsi="Verdana" w:cs="Times New Roman"/>
                <w:b/>
                <w:bCs/>
                <w:noProof/>
                <w:color w:val="000000"/>
                <w:sz w:val="16"/>
                <w:szCs w:val="16"/>
                <w:lang w:eastAsia="en-GB"/>
              </w:rPr>
              <w:drawing>
                <wp:inline distT="0" distB="0" distL="0" distR="0">
                  <wp:extent cx="94615" cy="112395"/>
                  <wp:effectExtent l="19050" t="0" r="635" b="0"/>
                  <wp:docPr id="8" name="Picture 8" descr="http://www.iveyinternational.com/images/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veyinternational.com/images/SM.gif"/>
                          <pic:cNvPicPr>
                            <a:picLocks noChangeAspect="1" noChangeArrowheads="1"/>
                          </pic:cNvPicPr>
                        </pic:nvPicPr>
                        <pic:blipFill>
                          <a:blip r:embed="rId5"/>
                          <a:srcRect/>
                          <a:stretch>
                            <a:fillRect/>
                          </a:stretch>
                        </pic:blipFill>
                        <pic:spPr bwMode="auto">
                          <a:xfrm>
                            <a:off x="0" y="0"/>
                            <a:ext cx="94615" cy="112395"/>
                          </a:xfrm>
                          <a:prstGeom prst="rect">
                            <a:avLst/>
                          </a:prstGeom>
                          <a:noFill/>
                          <a:ln w="9525">
                            <a:noFill/>
                            <a:miter lim="800000"/>
                            <a:headEnd/>
                            <a:tailEnd/>
                          </a:ln>
                        </pic:spPr>
                      </pic:pic>
                    </a:graphicData>
                  </a:graphic>
                </wp:inline>
              </w:drawing>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color w:val="000000"/>
                <w:sz w:val="16"/>
                <w:szCs w:val="16"/>
                <w:lang w:eastAsia="en-GB"/>
              </w:rPr>
              <w:t>In-situ and ex-situ application processes to liberate contaminants making them more ‘bio-available’ for microbial (bacteria) degradation.</w:t>
            </w:r>
            <w:r w:rsidRPr="00DA331F">
              <w:rPr>
                <w:rFonts w:ascii="Verdana" w:eastAsia="Times New Roman" w:hAnsi="Verdana" w:cs="Times New Roman"/>
                <w:color w:val="000000"/>
                <w:sz w:val="16"/>
                <w:szCs w:val="16"/>
                <w:lang w:eastAsia="en-GB"/>
              </w:rPr>
              <w:br/>
            </w:r>
            <w:r w:rsidRPr="00DA331F">
              <w:rPr>
                <w:rFonts w:ascii="Verdana" w:eastAsia="Times New Roman" w:hAnsi="Verdana" w:cs="Times New Roman"/>
                <w:color w:val="000000"/>
                <w:sz w:val="16"/>
                <w:szCs w:val="16"/>
                <w:lang w:eastAsia="en-GB"/>
              </w:rPr>
              <w:br/>
            </w:r>
            <w:r w:rsidRPr="00DA331F">
              <w:rPr>
                <w:rFonts w:ascii="Verdana" w:eastAsia="Times New Roman" w:hAnsi="Verdana" w:cs="Times New Roman"/>
                <w:b/>
                <w:bCs/>
                <w:color w:val="000000"/>
                <w:sz w:val="16"/>
                <w:lang w:eastAsia="en-GB"/>
              </w:rPr>
              <w:t>SEB</w:t>
            </w:r>
            <w:proofErr w:type="gramStart"/>
            <w:r w:rsidRPr="00DA331F">
              <w:rPr>
                <w:rFonts w:ascii="Verdana" w:eastAsia="Times New Roman" w:hAnsi="Verdana" w:cs="Times New Roman"/>
                <w:b/>
                <w:bCs/>
                <w:color w:val="000000"/>
                <w:sz w:val="16"/>
                <w:lang w:eastAsia="en-GB"/>
              </w:rPr>
              <w:t> </w:t>
            </w:r>
            <w:r w:rsidRPr="00DA331F">
              <w:rPr>
                <w:rFonts w:ascii="Verdana" w:eastAsia="Times New Roman" w:hAnsi="Verdana" w:cs="Times New Roman"/>
                <w:color w:val="000000"/>
                <w:sz w:val="16"/>
                <w:szCs w:val="16"/>
                <w:lang w:eastAsia="en-GB"/>
              </w:rPr>
              <w:t> improves</w:t>
            </w:r>
            <w:proofErr w:type="gramEnd"/>
            <w:r w:rsidRPr="00DA331F">
              <w:rPr>
                <w:rFonts w:ascii="Verdana" w:eastAsia="Times New Roman" w:hAnsi="Verdana" w:cs="Times New Roman"/>
                <w:color w:val="000000"/>
                <w:sz w:val="16"/>
                <w:szCs w:val="16"/>
                <w:lang w:eastAsia="en-GB"/>
              </w:rPr>
              <w:t xml:space="preserve"> both in-situ and/or ex-situ bioremediation treatment by 40 to 60% or more.</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t>SEB</w:t>
            </w:r>
            <w:proofErr w:type="gramStart"/>
            <w:r w:rsidRPr="00DA331F">
              <w:rPr>
                <w:rFonts w:ascii="Verdana" w:eastAsia="Times New Roman" w:hAnsi="Verdana" w:cs="Times New Roman"/>
                <w:b/>
                <w:bCs/>
                <w:color w:val="000000"/>
                <w:sz w:val="16"/>
                <w:lang w:eastAsia="en-GB"/>
              </w:rPr>
              <w:t> </w:t>
            </w:r>
            <w:r w:rsidRPr="00DA331F">
              <w:rPr>
                <w:rFonts w:ascii="Verdana" w:eastAsia="Times New Roman" w:hAnsi="Verdana" w:cs="Times New Roman"/>
                <w:color w:val="000000"/>
                <w:sz w:val="16"/>
                <w:szCs w:val="16"/>
                <w:lang w:eastAsia="en-GB"/>
              </w:rPr>
              <w:t> is</w:t>
            </w:r>
            <w:proofErr w:type="gramEnd"/>
            <w:r w:rsidRPr="00DA331F">
              <w:rPr>
                <w:rFonts w:ascii="Verdana" w:eastAsia="Times New Roman" w:hAnsi="Verdana" w:cs="Times New Roman"/>
                <w:color w:val="000000"/>
                <w:sz w:val="16"/>
                <w:szCs w:val="16"/>
                <w:lang w:eastAsia="en-GB"/>
              </w:rPr>
              <w:t xml:space="preserve"> applicable for both warm and cold temperature and climate site applications.</w:t>
            </w:r>
          </w:p>
        </w:tc>
        <w:tc>
          <w:tcPr>
            <w:tcW w:w="626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0"/>
                <w:szCs w:val="20"/>
                <w:lang w:eastAsia="en-GB"/>
              </w:rPr>
            </w:pPr>
          </w:p>
        </w:tc>
      </w:tr>
      <w:tr w:rsidR="00DA331F" w:rsidRPr="00DA331F" w:rsidTr="00DA331F">
        <w:trPr>
          <w:gridAfter w:val="2"/>
          <w:wAfter w:w="6265" w:type="dxa"/>
          <w:trHeight w:val="194"/>
          <w:tblCellSpacing w:w="0" w:type="dxa"/>
        </w:trPr>
        <w:tc>
          <w:tcPr>
            <w:tcW w:w="7175" w:type="dxa"/>
            <w:gridSpan w:val="2"/>
            <w:vMerge/>
            <w:shd w:val="clear" w:color="auto" w:fill="FFFFFF"/>
            <w:vAlign w:val="center"/>
            <w:hideMark/>
          </w:tcPr>
          <w:p w:rsidR="00DA331F" w:rsidRPr="00DA331F" w:rsidRDefault="00DA331F" w:rsidP="00DA331F">
            <w:pPr>
              <w:spacing w:after="0" w:line="240" w:lineRule="auto"/>
              <w:rPr>
                <w:rFonts w:ascii="Verdana" w:eastAsia="Times New Roman" w:hAnsi="Verdana" w:cs="Times New Roman"/>
                <w:color w:val="000000"/>
                <w:sz w:val="16"/>
                <w:szCs w:val="16"/>
                <w:lang w:eastAsia="en-GB"/>
              </w:rPr>
            </w:pPr>
          </w:p>
        </w:tc>
      </w:tr>
      <w:tr w:rsidR="00DA331F" w:rsidRPr="00DA331F" w:rsidTr="00DA331F">
        <w:trPr>
          <w:tblCellSpacing w:w="0" w:type="dxa"/>
        </w:trPr>
        <w:tc>
          <w:tcPr>
            <w:tcW w:w="7175" w:type="dxa"/>
            <w:gridSpan w:val="2"/>
            <w:shd w:val="clear" w:color="auto" w:fill="FFFFFF"/>
            <w:vAlign w:val="center"/>
            <w:hideMark/>
          </w:tcPr>
          <w:p w:rsidR="00DA331F" w:rsidRPr="00DA331F" w:rsidRDefault="00DA331F" w:rsidP="00DA331F">
            <w:pPr>
              <w:spacing w:after="0" w:line="240" w:lineRule="auto"/>
              <w:rPr>
                <w:rFonts w:ascii="Verdana" w:eastAsia="Times New Roman" w:hAnsi="Verdana" w:cs="Times New Roman"/>
                <w:b/>
                <w:bCs/>
                <w:i/>
                <w:iCs/>
                <w:color w:val="000099"/>
                <w:sz w:val="25"/>
                <w:szCs w:val="25"/>
                <w:lang w:eastAsia="en-GB"/>
              </w:rPr>
            </w:pPr>
            <w:r w:rsidRPr="00DA331F">
              <w:rPr>
                <w:rFonts w:ascii="Verdana" w:eastAsia="Times New Roman" w:hAnsi="Verdana" w:cs="Times New Roman"/>
                <w:b/>
                <w:bCs/>
                <w:i/>
                <w:iCs/>
                <w:color w:val="000099"/>
                <w:sz w:val="25"/>
                <w:szCs w:val="25"/>
                <w:lang w:eastAsia="en-GB"/>
              </w:rPr>
              <w:t xml:space="preserve">Surfactant Enhanced </w:t>
            </w:r>
            <w:proofErr w:type="spellStart"/>
            <w:r w:rsidRPr="00DA331F">
              <w:rPr>
                <w:rFonts w:ascii="Verdana" w:eastAsia="Times New Roman" w:hAnsi="Verdana" w:cs="Times New Roman"/>
                <w:b/>
                <w:bCs/>
                <w:i/>
                <w:iCs/>
                <w:color w:val="000099"/>
                <w:sz w:val="25"/>
                <w:szCs w:val="25"/>
                <w:lang w:eastAsia="en-GB"/>
              </w:rPr>
              <w:t>Chemicalization</w:t>
            </w:r>
            <w:proofErr w:type="spellEnd"/>
          </w:p>
        </w:tc>
        <w:tc>
          <w:tcPr>
            <w:tcW w:w="626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4"/>
                <w:szCs w:val="24"/>
                <w:lang w:eastAsia="en-GB"/>
              </w:rPr>
            </w:pPr>
            <w:r w:rsidRPr="00DA331F">
              <w:rPr>
                <w:rFonts w:ascii="Times New Roman" w:eastAsia="Times New Roman" w:hAnsi="Times New Roman" w:cs="Times New Roman"/>
                <w:sz w:val="24"/>
                <w:szCs w:val="24"/>
                <w:lang w:eastAsia="en-GB"/>
              </w:rPr>
              <w:t> </w:t>
            </w:r>
          </w:p>
        </w:tc>
      </w:tr>
      <w:tr w:rsidR="00DA331F" w:rsidRPr="00DA331F" w:rsidTr="00DA331F">
        <w:trPr>
          <w:tblCellSpacing w:w="0" w:type="dxa"/>
        </w:trPr>
        <w:tc>
          <w:tcPr>
            <w:tcW w:w="7175" w:type="dxa"/>
            <w:gridSpan w:val="2"/>
            <w:vMerge w:val="restart"/>
            <w:shd w:val="clear" w:color="auto" w:fill="FFFFFF"/>
            <w:hideMark/>
          </w:tcPr>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proofErr w:type="spellStart"/>
            <w:r w:rsidRPr="00DA331F">
              <w:rPr>
                <w:rFonts w:ascii="Verdana" w:eastAsia="Times New Roman" w:hAnsi="Verdana" w:cs="Times New Roman"/>
                <w:b/>
                <w:bCs/>
                <w:color w:val="000000"/>
                <w:sz w:val="19"/>
                <w:lang w:eastAsia="en-GB"/>
              </w:rPr>
              <w:t>SEC</w:t>
            </w:r>
            <w:r w:rsidRPr="00DA331F">
              <w:rPr>
                <w:rFonts w:ascii="Verdana" w:eastAsia="Times New Roman" w:hAnsi="Verdana" w:cs="Times New Roman"/>
                <w:b/>
                <w:bCs/>
                <w:color w:val="000000"/>
                <w:sz w:val="19"/>
                <w:vertAlign w:val="superscript"/>
                <w:lang w:eastAsia="en-GB"/>
              </w:rPr>
              <w:t>_</w:t>
            </w:r>
            <w:r w:rsidRPr="00DA331F">
              <w:rPr>
                <w:rFonts w:ascii="Verdana" w:eastAsia="Times New Roman" w:hAnsi="Verdana" w:cs="Times New Roman"/>
                <w:b/>
                <w:bCs/>
                <w:color w:val="000000"/>
                <w:sz w:val="19"/>
                <w:lang w:eastAsia="en-GB"/>
              </w:rPr>
              <w:t>Surfactant</w:t>
            </w:r>
            <w:proofErr w:type="spellEnd"/>
            <w:r w:rsidRPr="00DA331F">
              <w:rPr>
                <w:rFonts w:ascii="Verdana" w:eastAsia="Times New Roman" w:hAnsi="Verdana" w:cs="Times New Roman"/>
                <w:b/>
                <w:bCs/>
                <w:color w:val="000000"/>
                <w:sz w:val="19"/>
                <w:lang w:eastAsia="en-GB"/>
              </w:rPr>
              <w:t xml:space="preserve"> Enhanced </w:t>
            </w:r>
            <w:proofErr w:type="spellStart"/>
            <w:r w:rsidRPr="00DA331F">
              <w:rPr>
                <w:rFonts w:ascii="Verdana" w:eastAsia="Times New Roman" w:hAnsi="Verdana" w:cs="Times New Roman"/>
                <w:b/>
                <w:bCs/>
                <w:color w:val="000000"/>
                <w:sz w:val="19"/>
                <w:lang w:eastAsia="en-GB"/>
              </w:rPr>
              <w:t>Chemicalization</w:t>
            </w:r>
            <w:proofErr w:type="spellEnd"/>
            <w:r>
              <w:rPr>
                <w:rFonts w:ascii="Verdana" w:eastAsia="Times New Roman" w:hAnsi="Verdana" w:cs="Times New Roman"/>
                <w:noProof/>
                <w:color w:val="000000"/>
                <w:sz w:val="19"/>
                <w:szCs w:val="19"/>
                <w:lang w:eastAsia="en-GB"/>
              </w:rPr>
              <w:drawing>
                <wp:inline distT="0" distB="0" distL="0" distR="0">
                  <wp:extent cx="94615" cy="112395"/>
                  <wp:effectExtent l="19050" t="0" r="635" b="0"/>
                  <wp:docPr id="10" name="Picture 10" descr="http://www.iveyinternational.com/images/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veyinternational.com/images/SM.gif"/>
                          <pic:cNvPicPr>
                            <a:picLocks noChangeAspect="1" noChangeArrowheads="1"/>
                          </pic:cNvPicPr>
                        </pic:nvPicPr>
                        <pic:blipFill>
                          <a:blip r:embed="rId5"/>
                          <a:srcRect/>
                          <a:stretch>
                            <a:fillRect/>
                          </a:stretch>
                        </pic:blipFill>
                        <pic:spPr bwMode="auto">
                          <a:xfrm>
                            <a:off x="0" y="0"/>
                            <a:ext cx="94615" cy="112395"/>
                          </a:xfrm>
                          <a:prstGeom prst="rect">
                            <a:avLst/>
                          </a:prstGeom>
                          <a:noFill/>
                          <a:ln w="9525">
                            <a:noFill/>
                            <a:miter lim="800000"/>
                            <a:headEnd/>
                            <a:tailEnd/>
                          </a:ln>
                        </pic:spPr>
                      </pic:pic>
                    </a:graphicData>
                  </a:graphic>
                </wp:inline>
              </w:drawing>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color w:val="000000"/>
                <w:sz w:val="16"/>
                <w:szCs w:val="16"/>
                <w:lang w:eastAsia="en-GB"/>
              </w:rPr>
              <w:t>In-situ and ex-situ application processes to liberate contaminants making them more ‘chemically available’ for chemical oxidation by chemical agents. </w:t>
            </w:r>
            <w:r w:rsidRPr="00DA331F">
              <w:rPr>
                <w:rFonts w:ascii="Verdana" w:eastAsia="Times New Roman" w:hAnsi="Verdana" w:cs="Times New Roman"/>
                <w:b/>
                <w:bCs/>
                <w:color w:val="000000"/>
                <w:sz w:val="16"/>
                <w:lang w:eastAsia="en-GB"/>
              </w:rPr>
              <w:t xml:space="preserve">SEC-Surfactant Enhanced </w:t>
            </w:r>
            <w:proofErr w:type="spellStart"/>
            <w:r w:rsidRPr="00DA331F">
              <w:rPr>
                <w:rFonts w:ascii="Verdana" w:eastAsia="Times New Roman" w:hAnsi="Verdana" w:cs="Times New Roman"/>
                <w:b/>
                <w:bCs/>
                <w:color w:val="000000"/>
                <w:sz w:val="16"/>
                <w:lang w:eastAsia="en-GB"/>
              </w:rPr>
              <w:t>Chemicalization</w:t>
            </w:r>
            <w:proofErr w:type="spellEnd"/>
            <w:r>
              <w:rPr>
                <w:rFonts w:ascii="Verdana" w:eastAsia="Times New Roman" w:hAnsi="Verdana" w:cs="Times New Roman"/>
                <w:noProof/>
                <w:color w:val="000000"/>
                <w:sz w:val="16"/>
                <w:szCs w:val="16"/>
                <w:lang w:eastAsia="en-GB"/>
              </w:rPr>
              <w:drawing>
                <wp:inline distT="0" distB="0" distL="0" distR="0">
                  <wp:extent cx="94615" cy="112395"/>
                  <wp:effectExtent l="19050" t="0" r="635" b="0"/>
                  <wp:docPr id="11" name="Picture 11" descr="http://www.iveyinternational.com/images/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veyinternational.com/images/SM.gif"/>
                          <pic:cNvPicPr>
                            <a:picLocks noChangeAspect="1" noChangeArrowheads="1"/>
                          </pic:cNvPicPr>
                        </pic:nvPicPr>
                        <pic:blipFill>
                          <a:blip r:embed="rId5"/>
                          <a:srcRect/>
                          <a:stretch>
                            <a:fillRect/>
                          </a:stretch>
                        </pic:blipFill>
                        <pic:spPr bwMode="auto">
                          <a:xfrm>
                            <a:off x="0" y="0"/>
                            <a:ext cx="94615" cy="112395"/>
                          </a:xfrm>
                          <a:prstGeom prst="rect">
                            <a:avLst/>
                          </a:prstGeom>
                          <a:noFill/>
                          <a:ln w="9525">
                            <a:noFill/>
                            <a:miter lim="800000"/>
                            <a:headEnd/>
                            <a:tailEnd/>
                          </a:ln>
                        </pic:spPr>
                      </pic:pic>
                    </a:graphicData>
                  </a:graphic>
                </wp:inline>
              </w:drawing>
            </w:r>
            <w:r w:rsidRPr="00DA331F">
              <w:rPr>
                <w:rFonts w:ascii="Verdana" w:eastAsia="Times New Roman" w:hAnsi="Verdana" w:cs="Times New Roman"/>
                <w:color w:val="000000"/>
                <w:sz w:val="16"/>
                <w:szCs w:val="16"/>
                <w:lang w:eastAsia="en-GB"/>
              </w:rPr>
              <w:t> improves the availability of the contaminants to the chemical agents commonly employed to affect in-situ and/or ex-situ chemical oxidation by 40 to 80% or more. The oxidation of non-target compounds (i.e., metals, natural products, and bacteria) is the greatest drawback to chemical oxidant treatment.</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b/>
                <w:bCs/>
                <w:color w:val="000000"/>
                <w:sz w:val="16"/>
                <w:lang w:eastAsia="en-GB"/>
              </w:rPr>
              <w:t>Ivey-sol</w:t>
            </w:r>
            <w:r w:rsidRPr="00DA331F">
              <w:rPr>
                <w:rFonts w:ascii="Verdana" w:eastAsia="Times New Roman" w:hAnsi="Verdana" w:cs="Times New Roman"/>
                <w:b/>
                <w:bCs/>
                <w:color w:val="000000"/>
                <w:sz w:val="16"/>
                <w:vertAlign w:val="superscript"/>
                <w:lang w:eastAsia="en-GB"/>
              </w:rPr>
              <w:t>®</w:t>
            </w:r>
            <w:r w:rsidRPr="00DA331F">
              <w:rPr>
                <w:rFonts w:ascii="Verdana" w:eastAsia="Times New Roman" w:hAnsi="Verdana" w:cs="Times New Roman"/>
                <w:color w:val="000000"/>
                <w:sz w:val="16"/>
                <w:szCs w:val="16"/>
                <w:lang w:eastAsia="en-GB"/>
              </w:rPr>
              <w:t xml:space="preserve"> helps overcome this limitation by increasing contact between contaminants and oxidants improving the oxidation rate of target compounds. This process may also be modified for application with chemical reducing agents in reductive </w:t>
            </w:r>
            <w:proofErr w:type="spellStart"/>
            <w:r w:rsidRPr="00DA331F">
              <w:rPr>
                <w:rFonts w:ascii="Verdana" w:eastAsia="Times New Roman" w:hAnsi="Verdana" w:cs="Times New Roman"/>
                <w:color w:val="000000"/>
                <w:sz w:val="16"/>
                <w:szCs w:val="16"/>
                <w:lang w:eastAsia="en-GB"/>
              </w:rPr>
              <w:t>dechlorination</w:t>
            </w:r>
            <w:proofErr w:type="spellEnd"/>
            <w:r w:rsidRPr="00DA331F">
              <w:rPr>
                <w:rFonts w:ascii="Verdana" w:eastAsia="Times New Roman" w:hAnsi="Verdana" w:cs="Times New Roman"/>
                <w:color w:val="000000"/>
                <w:sz w:val="16"/>
                <w:szCs w:val="16"/>
                <w:lang w:eastAsia="en-GB"/>
              </w:rPr>
              <w:t>.</w:t>
            </w:r>
          </w:p>
        </w:tc>
        <w:tc>
          <w:tcPr>
            <w:tcW w:w="626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0"/>
                <w:szCs w:val="20"/>
                <w:lang w:eastAsia="en-GB"/>
              </w:rPr>
            </w:pPr>
          </w:p>
        </w:tc>
      </w:tr>
      <w:tr w:rsidR="00DA331F" w:rsidRPr="00DA331F" w:rsidTr="00DA331F">
        <w:trPr>
          <w:gridAfter w:val="2"/>
          <w:wAfter w:w="6265" w:type="dxa"/>
          <w:trHeight w:val="194"/>
          <w:tblCellSpacing w:w="0" w:type="dxa"/>
        </w:trPr>
        <w:tc>
          <w:tcPr>
            <w:tcW w:w="7175" w:type="dxa"/>
            <w:gridSpan w:val="2"/>
            <w:vMerge/>
            <w:shd w:val="clear" w:color="auto" w:fill="FFFFFF"/>
            <w:vAlign w:val="center"/>
            <w:hideMark/>
          </w:tcPr>
          <w:p w:rsidR="00DA331F" w:rsidRPr="00DA331F" w:rsidRDefault="00DA331F" w:rsidP="00DA331F">
            <w:pPr>
              <w:spacing w:after="0" w:line="240" w:lineRule="auto"/>
              <w:rPr>
                <w:rFonts w:ascii="Verdana" w:eastAsia="Times New Roman" w:hAnsi="Verdana" w:cs="Times New Roman"/>
                <w:color w:val="000000"/>
                <w:sz w:val="16"/>
                <w:szCs w:val="16"/>
                <w:lang w:eastAsia="en-GB"/>
              </w:rPr>
            </w:pPr>
          </w:p>
        </w:tc>
      </w:tr>
      <w:tr w:rsidR="00DA331F" w:rsidRPr="00DA331F" w:rsidTr="00DA331F">
        <w:trPr>
          <w:gridAfter w:val="1"/>
          <w:wAfter w:w="2190" w:type="dxa"/>
          <w:tblCellSpacing w:w="0" w:type="dxa"/>
        </w:trPr>
        <w:tc>
          <w:tcPr>
            <w:tcW w:w="5625" w:type="dxa"/>
            <w:shd w:val="clear" w:color="auto" w:fill="FFFFFF"/>
            <w:vAlign w:val="center"/>
            <w:hideMark/>
          </w:tcPr>
          <w:p w:rsidR="00DA331F" w:rsidRPr="00DA331F" w:rsidRDefault="00DA331F" w:rsidP="00DA331F">
            <w:pPr>
              <w:spacing w:after="0" w:line="240" w:lineRule="auto"/>
              <w:rPr>
                <w:rFonts w:ascii="Verdana" w:eastAsia="Times New Roman" w:hAnsi="Verdana" w:cs="Times New Roman"/>
                <w:b/>
                <w:bCs/>
                <w:i/>
                <w:iCs/>
                <w:color w:val="000099"/>
                <w:sz w:val="25"/>
                <w:szCs w:val="25"/>
                <w:lang w:eastAsia="en-GB"/>
              </w:rPr>
            </w:pPr>
            <w:r w:rsidRPr="00DA331F">
              <w:rPr>
                <w:rFonts w:ascii="Verdana" w:eastAsia="Times New Roman" w:hAnsi="Verdana" w:cs="Times New Roman"/>
                <w:b/>
                <w:bCs/>
                <w:i/>
                <w:iCs/>
                <w:color w:val="000099"/>
                <w:sz w:val="25"/>
                <w:szCs w:val="25"/>
                <w:lang w:eastAsia="en-GB"/>
              </w:rPr>
              <w:t>MTBE Remediation</w:t>
            </w:r>
          </w:p>
        </w:tc>
        <w:tc>
          <w:tcPr>
            <w:tcW w:w="562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4"/>
                <w:szCs w:val="24"/>
                <w:lang w:eastAsia="en-GB"/>
              </w:rPr>
            </w:pPr>
            <w:r w:rsidRPr="00DA331F">
              <w:rPr>
                <w:rFonts w:ascii="Times New Roman" w:eastAsia="Times New Roman" w:hAnsi="Times New Roman" w:cs="Times New Roman"/>
                <w:sz w:val="24"/>
                <w:szCs w:val="24"/>
                <w:lang w:eastAsia="en-GB"/>
              </w:rPr>
              <w:t> </w:t>
            </w:r>
          </w:p>
        </w:tc>
      </w:tr>
      <w:tr w:rsidR="00DA331F" w:rsidRPr="00DA331F" w:rsidTr="00DA331F">
        <w:trPr>
          <w:gridAfter w:val="1"/>
          <w:wAfter w:w="2190" w:type="dxa"/>
          <w:tblCellSpacing w:w="0" w:type="dxa"/>
        </w:trPr>
        <w:tc>
          <w:tcPr>
            <w:tcW w:w="5625" w:type="dxa"/>
            <w:shd w:val="clear" w:color="auto" w:fill="FFFFFF"/>
            <w:hideMark/>
          </w:tcPr>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color w:val="000000"/>
                <w:sz w:val="16"/>
                <w:szCs w:val="16"/>
                <w:lang w:eastAsia="en-GB"/>
              </w:rPr>
              <w:t>MTBE (Methyl Tertiary Butyl Ether) Groundwater Remediation using SER Ivey-sol Technology</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color w:val="000000"/>
                <w:sz w:val="16"/>
                <w:szCs w:val="16"/>
                <w:lang w:eastAsia="en-GB"/>
              </w:rPr>
              <w:t>Ivey International Inc. recently developed technology, which is an integral part of the Ivey-sol process that is capable of increasing the solubility and rate of MTBE recovery from ground water by greater than 740%.</w:t>
            </w:r>
          </w:p>
          <w:p w:rsidR="00DA331F" w:rsidRPr="00DA331F" w:rsidRDefault="00DA331F" w:rsidP="00DA331F">
            <w:pPr>
              <w:spacing w:before="100" w:beforeAutospacing="1" w:after="100" w:afterAutospacing="1" w:line="217" w:lineRule="atLeast"/>
              <w:rPr>
                <w:rFonts w:ascii="Verdana" w:eastAsia="Times New Roman" w:hAnsi="Verdana" w:cs="Times New Roman"/>
                <w:color w:val="000000"/>
                <w:sz w:val="16"/>
                <w:szCs w:val="16"/>
                <w:lang w:eastAsia="en-GB"/>
              </w:rPr>
            </w:pPr>
            <w:r w:rsidRPr="00DA331F">
              <w:rPr>
                <w:rFonts w:ascii="Verdana" w:eastAsia="Times New Roman" w:hAnsi="Verdana" w:cs="Times New Roman"/>
                <w:color w:val="000000"/>
                <w:sz w:val="16"/>
                <w:szCs w:val="16"/>
                <w:lang w:eastAsia="en-GB"/>
              </w:rPr>
              <w:t xml:space="preserve">With more than 15% of the community drinking water supplies impacted with MTBE in the USA; this </w:t>
            </w:r>
            <w:proofErr w:type="spellStart"/>
            <w:r w:rsidRPr="00DA331F">
              <w:rPr>
                <w:rFonts w:ascii="Verdana" w:eastAsia="Times New Roman" w:hAnsi="Verdana" w:cs="Times New Roman"/>
                <w:color w:val="000000"/>
                <w:sz w:val="16"/>
                <w:szCs w:val="16"/>
                <w:lang w:eastAsia="en-GB"/>
              </w:rPr>
              <w:t>break through</w:t>
            </w:r>
            <w:proofErr w:type="spellEnd"/>
            <w:r w:rsidRPr="00DA331F">
              <w:rPr>
                <w:rFonts w:ascii="Verdana" w:eastAsia="Times New Roman" w:hAnsi="Verdana" w:cs="Times New Roman"/>
                <w:color w:val="000000"/>
                <w:sz w:val="16"/>
                <w:szCs w:val="16"/>
                <w:lang w:eastAsia="en-GB"/>
              </w:rPr>
              <w:t xml:space="preserve"> will prove very important in current MTBE clean-up efforts, and the future protection of community drinking water supplies.</w:t>
            </w:r>
          </w:p>
        </w:tc>
        <w:tc>
          <w:tcPr>
            <w:tcW w:w="5625" w:type="dxa"/>
            <w:gridSpan w:val="2"/>
            <w:shd w:val="clear" w:color="auto" w:fill="FFFFFF"/>
            <w:vAlign w:val="center"/>
            <w:hideMark/>
          </w:tcPr>
          <w:p w:rsidR="00DA331F" w:rsidRPr="00DA331F" w:rsidRDefault="00DA331F" w:rsidP="00DA331F">
            <w:pPr>
              <w:spacing w:after="0" w:line="240" w:lineRule="auto"/>
              <w:rPr>
                <w:rFonts w:ascii="Times New Roman" w:eastAsia="Times New Roman" w:hAnsi="Times New Roman" w:cs="Times New Roman"/>
                <w:sz w:val="20"/>
                <w:szCs w:val="20"/>
                <w:lang w:eastAsia="en-GB"/>
              </w:rPr>
            </w:pPr>
          </w:p>
        </w:tc>
      </w:tr>
    </w:tbl>
    <w:p w:rsidR="00DA331F" w:rsidRDefault="00DA331F">
      <w:pPr>
        <w:rPr>
          <w:rFonts w:ascii="Verdana" w:hAnsi="Verdana"/>
          <w:b/>
          <w:bCs/>
          <w:i/>
          <w:iCs/>
          <w:color w:val="000099"/>
          <w:sz w:val="25"/>
          <w:szCs w:val="25"/>
          <w:shd w:val="clear" w:color="auto" w:fill="FFFFFF"/>
        </w:rPr>
      </w:pPr>
      <w:r>
        <w:rPr>
          <w:rFonts w:ascii="Verdana" w:eastAsia="Times New Roman" w:hAnsi="Verdana" w:cs="Times New Roman"/>
          <w:b/>
          <w:bCs/>
          <w:i/>
          <w:iCs/>
          <w:color w:val="000099"/>
          <w:sz w:val="25"/>
          <w:szCs w:val="25"/>
          <w:lang w:eastAsia="en-GB"/>
        </w:rPr>
        <w:t xml:space="preserve">OTHER </w:t>
      </w:r>
      <w:r w:rsidRPr="00DA331F">
        <w:rPr>
          <w:rFonts w:ascii="Verdana" w:eastAsia="Times New Roman" w:hAnsi="Verdana" w:cs="Times New Roman"/>
          <w:b/>
          <w:bCs/>
          <w:i/>
          <w:iCs/>
          <w:color w:val="000099"/>
          <w:sz w:val="25"/>
          <w:szCs w:val="25"/>
          <w:lang w:eastAsia="en-GB"/>
        </w:rPr>
        <w:t>Remediation</w:t>
      </w:r>
    </w:p>
    <w:p w:rsidR="00DA331F" w:rsidRDefault="00DA331F">
      <w:pPr>
        <w:rPr>
          <w:rFonts w:ascii="Verdana" w:hAnsi="Verdana"/>
          <w:b/>
          <w:bCs/>
          <w:i/>
          <w:iCs/>
          <w:color w:val="000099"/>
          <w:sz w:val="25"/>
          <w:szCs w:val="25"/>
          <w:shd w:val="clear" w:color="auto" w:fill="FFFFFF"/>
        </w:rPr>
      </w:pPr>
      <w:r>
        <w:rPr>
          <w:rFonts w:ascii="Verdana" w:hAnsi="Verdana"/>
          <w:b/>
          <w:bCs/>
          <w:i/>
          <w:iCs/>
          <w:color w:val="000099"/>
          <w:sz w:val="25"/>
          <w:szCs w:val="25"/>
          <w:shd w:val="clear" w:color="auto" w:fill="FFFFFF"/>
        </w:rPr>
        <w:t>Heavy Metals (</w:t>
      </w:r>
      <w:proofErr w:type="spellStart"/>
      <w:r>
        <w:rPr>
          <w:rFonts w:ascii="Verdana" w:hAnsi="Verdana"/>
          <w:b/>
          <w:bCs/>
          <w:i/>
          <w:iCs/>
          <w:color w:val="000099"/>
          <w:sz w:val="25"/>
          <w:szCs w:val="25"/>
          <w:shd w:val="clear" w:color="auto" w:fill="FFFFFF"/>
        </w:rPr>
        <w:t>Atomisol</w:t>
      </w:r>
      <w:proofErr w:type="spellEnd"/>
      <w:r>
        <w:rPr>
          <w:rFonts w:ascii="Verdana" w:hAnsi="Verdana"/>
          <w:b/>
          <w:bCs/>
          <w:i/>
          <w:iCs/>
          <w:color w:val="000099"/>
          <w:sz w:val="25"/>
          <w:szCs w:val="25"/>
          <w:shd w:val="clear" w:color="auto" w:fill="FFFFFF"/>
        </w:rPr>
        <w:t>™)</w:t>
      </w:r>
    </w:p>
    <w:p w:rsidR="00DA331F" w:rsidRDefault="00DA331F">
      <w:pPr>
        <w:rPr>
          <w:rFonts w:ascii="Verdana" w:hAnsi="Verdana"/>
          <w:b/>
          <w:bCs/>
          <w:i/>
          <w:iCs/>
          <w:color w:val="000099"/>
          <w:sz w:val="25"/>
          <w:szCs w:val="25"/>
          <w:shd w:val="clear" w:color="auto" w:fill="FFFFFF"/>
        </w:rPr>
      </w:pPr>
      <w:r>
        <w:rPr>
          <w:rFonts w:ascii="Verdana" w:hAnsi="Verdana"/>
          <w:b/>
          <w:bCs/>
          <w:i/>
          <w:iCs/>
          <w:color w:val="000099"/>
          <w:sz w:val="25"/>
          <w:szCs w:val="25"/>
          <w:shd w:val="clear" w:color="auto" w:fill="FFFFFF"/>
        </w:rPr>
        <w:lastRenderedPageBreak/>
        <w:t>NORMs</w:t>
      </w:r>
    </w:p>
    <w:p w:rsidR="00DA331F" w:rsidRDefault="00DA331F">
      <w:r w:rsidRPr="00DA331F">
        <w:rPr>
          <w:noProof/>
          <w:lang w:eastAsia="en-GB"/>
        </w:rPr>
        <w:drawing>
          <wp:inline distT="0" distB="0" distL="0" distR="0">
            <wp:extent cx="3923893" cy="5175250"/>
            <wp:effectExtent l="76200" t="76200" r="114935" b="12065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493" cy="5187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31F" w:rsidRDefault="00DA331F">
      <w:r w:rsidRPr="00DA331F">
        <w:rPr>
          <w:noProof/>
          <w:lang w:eastAsia="en-GB"/>
        </w:rPr>
        <w:drawing>
          <wp:inline distT="0" distB="0" distL="0" distR="0">
            <wp:extent cx="2252133" cy="1689100"/>
            <wp:effectExtent l="76200" t="76200" r="110490" b="1206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7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5723" cy="1691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A331F">
        <w:rPr>
          <w:noProof/>
          <w:lang w:eastAsia="en-GB"/>
        </w:rPr>
        <w:drawing>
          <wp:inline distT="0" distB="0" distL="0" distR="0">
            <wp:extent cx="2251710" cy="1688783"/>
            <wp:effectExtent l="76200" t="76200" r="110490" b="1212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2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1710" cy="168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2B5A" w:rsidRDefault="00832B5A">
      <w:r w:rsidRPr="00832B5A">
        <w:rPr>
          <w:noProof/>
          <w:lang w:eastAsia="en-GB"/>
        </w:rPr>
        <w:lastRenderedPageBreak/>
        <w:drawing>
          <wp:inline distT="0" distB="0" distL="0" distR="0">
            <wp:extent cx="3688511" cy="2133785"/>
            <wp:effectExtent l="38100" t="57150" r="121489" b="9506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2028" cy="2141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31F" w:rsidRDefault="00DA331F">
      <w:r w:rsidRPr="00DA331F">
        <w:rPr>
          <w:noProof/>
          <w:lang w:eastAsia="en-GB"/>
        </w:rPr>
        <w:drawing>
          <wp:inline distT="0" distB="0" distL="0" distR="0">
            <wp:extent cx="2667000" cy="1824341"/>
            <wp:effectExtent l="38100" t="57150" r="114300" b="99709"/>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 Soil Wash.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7190" cy="1844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4108" w:rsidRDefault="00BB4108">
      <w:r w:rsidRPr="00BB4108">
        <w:rPr>
          <w:noProof/>
          <w:lang w:eastAsia="en-GB"/>
        </w:rPr>
        <w:drawing>
          <wp:inline distT="0" distB="0" distL="0" distR="0">
            <wp:extent cx="4476750" cy="2518230"/>
            <wp:effectExtent l="76200" t="76200" r="114300" b="1111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vey-sol Soil Washing-DRAFT-2.4.2014-Rev2.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4630" cy="2522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2B5A" w:rsidRDefault="00832B5A">
      <w:r w:rsidRPr="00832B5A">
        <w:rPr>
          <w:noProof/>
          <w:lang w:eastAsia="en-GB"/>
        </w:rPr>
        <w:lastRenderedPageBreak/>
        <w:drawing>
          <wp:inline distT="0" distB="0" distL="0" distR="0">
            <wp:extent cx="5731510" cy="2876852"/>
            <wp:effectExtent l="38100" t="57150" r="116840" b="94948"/>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76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32B5A" w:rsidSect="00F17A0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4093A"/>
    <w:rsid w:val="00162055"/>
    <w:rsid w:val="001E149E"/>
    <w:rsid w:val="00832B5A"/>
    <w:rsid w:val="00886817"/>
    <w:rsid w:val="00B4093A"/>
    <w:rsid w:val="00B555BD"/>
    <w:rsid w:val="00BB4108"/>
    <w:rsid w:val="00DA331F"/>
    <w:rsid w:val="00F17A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A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33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py12pt">
    <w:name w:val="copy12pt"/>
    <w:basedOn w:val="DefaultParagraphFont"/>
    <w:rsid w:val="00DA331F"/>
  </w:style>
  <w:style w:type="character" w:styleId="Strong">
    <w:name w:val="Strong"/>
    <w:basedOn w:val="DefaultParagraphFont"/>
    <w:uiPriority w:val="22"/>
    <w:qFormat/>
    <w:rsid w:val="00DA331F"/>
    <w:rPr>
      <w:b/>
      <w:bCs/>
    </w:rPr>
  </w:style>
  <w:style w:type="paragraph" w:customStyle="1" w:styleId="copy12pt1">
    <w:name w:val="copy12pt1"/>
    <w:basedOn w:val="Normal"/>
    <w:rsid w:val="00DA33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A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31F"/>
    <w:rPr>
      <w:rFonts w:ascii="Tahoma" w:hAnsi="Tahoma" w:cs="Tahoma"/>
      <w:sz w:val="16"/>
      <w:szCs w:val="16"/>
    </w:rPr>
  </w:style>
  <w:style w:type="character" w:customStyle="1" w:styleId="style8">
    <w:name w:val="style8"/>
    <w:basedOn w:val="DefaultParagraphFont"/>
    <w:rsid w:val="00DA331F"/>
  </w:style>
</w:styles>
</file>

<file path=word/webSettings.xml><?xml version="1.0" encoding="utf-8"?>
<w:webSettings xmlns:r="http://schemas.openxmlformats.org/officeDocument/2006/relationships" xmlns:w="http://schemas.openxmlformats.org/wordprocessingml/2006/main">
  <w:divs>
    <w:div w:id="904142115">
      <w:bodyDiv w:val="1"/>
      <w:marLeft w:val="0"/>
      <w:marRight w:val="0"/>
      <w:marTop w:val="0"/>
      <w:marBottom w:val="0"/>
      <w:divBdr>
        <w:top w:val="none" w:sz="0" w:space="0" w:color="auto"/>
        <w:left w:val="none" w:sz="0" w:space="0" w:color="auto"/>
        <w:bottom w:val="none" w:sz="0" w:space="0" w:color="auto"/>
        <w:right w:val="none" w:sz="0" w:space="0" w:color="auto"/>
      </w:divBdr>
    </w:div>
    <w:div w:id="1151676769">
      <w:bodyDiv w:val="1"/>
      <w:marLeft w:val="0"/>
      <w:marRight w:val="0"/>
      <w:marTop w:val="0"/>
      <w:marBottom w:val="0"/>
      <w:divBdr>
        <w:top w:val="none" w:sz="0" w:space="0" w:color="auto"/>
        <w:left w:val="none" w:sz="0" w:space="0" w:color="auto"/>
        <w:bottom w:val="none" w:sz="0" w:space="0" w:color="auto"/>
        <w:right w:val="none" w:sz="0" w:space="0" w:color="auto"/>
      </w:divBdr>
    </w:div>
    <w:div w:id="1381130694">
      <w:bodyDiv w:val="1"/>
      <w:marLeft w:val="0"/>
      <w:marRight w:val="0"/>
      <w:marTop w:val="0"/>
      <w:marBottom w:val="0"/>
      <w:divBdr>
        <w:top w:val="none" w:sz="0" w:space="0" w:color="auto"/>
        <w:left w:val="none" w:sz="0" w:space="0" w:color="auto"/>
        <w:bottom w:val="none" w:sz="0" w:space="0" w:color="auto"/>
        <w:right w:val="none" w:sz="0" w:space="0" w:color="auto"/>
      </w:divBdr>
    </w:div>
    <w:div w:id="1934587797">
      <w:bodyDiv w:val="1"/>
      <w:marLeft w:val="0"/>
      <w:marRight w:val="0"/>
      <w:marTop w:val="0"/>
      <w:marBottom w:val="0"/>
      <w:divBdr>
        <w:top w:val="none" w:sz="0" w:space="0" w:color="auto"/>
        <w:left w:val="none" w:sz="0" w:space="0" w:color="auto"/>
        <w:bottom w:val="none" w:sz="0" w:space="0" w:color="auto"/>
        <w:right w:val="none" w:sz="0" w:space="0" w:color="auto"/>
      </w:divBdr>
    </w:div>
    <w:div w:id="207430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user pc</cp:lastModifiedBy>
  <cp:revision>2</cp:revision>
  <dcterms:created xsi:type="dcterms:W3CDTF">2018-10-26T16:05:00Z</dcterms:created>
  <dcterms:modified xsi:type="dcterms:W3CDTF">2018-10-26T16:05:00Z</dcterms:modified>
</cp:coreProperties>
</file>